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AB" w:rsidRDefault="00E877AB" w:rsidP="00E877AB">
      <w:pPr>
        <w:rPr>
          <w:b/>
          <w:sz w:val="52"/>
          <w:szCs w:val="52"/>
        </w:rPr>
      </w:pPr>
    </w:p>
    <w:p w:rsidR="00E877AB" w:rsidRDefault="00E877AB" w:rsidP="00B66E4F">
      <w:pPr>
        <w:tabs>
          <w:tab w:val="left" w:pos="7545"/>
        </w:tabs>
        <w:jc w:val="center"/>
        <w:rPr>
          <w:b/>
          <w:sz w:val="56"/>
          <w:szCs w:val="56"/>
        </w:rPr>
      </w:pPr>
      <w:r>
        <w:rPr>
          <w:noProof/>
        </w:rPr>
        <w:drawing>
          <wp:inline distT="0" distB="0" distL="0" distR="0" wp14:anchorId="7730FA85" wp14:editId="2D07CA43">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EE72F41" wp14:editId="260C8BF5">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r w:rsidR="00B66E4F">
        <w:rPr>
          <w:b/>
          <w:sz w:val="56"/>
          <w:szCs w:val="56"/>
        </w:rPr>
        <w:t>LA name &amp;</w:t>
      </w:r>
      <w:r>
        <w:rPr>
          <w:b/>
          <w:sz w:val="56"/>
          <w:szCs w:val="56"/>
        </w:rPr>
        <w:t xml:space="preserve"> </w:t>
      </w:r>
      <w:proofErr w:type="spellStart"/>
      <w:r>
        <w:rPr>
          <w:b/>
          <w:sz w:val="56"/>
          <w:szCs w:val="56"/>
        </w:rPr>
        <w:t>OCD</w:t>
      </w:r>
      <w:proofErr w:type="spellEnd"/>
      <w:r>
        <w:rPr>
          <w:b/>
          <w:sz w:val="56"/>
          <w:szCs w:val="56"/>
        </w:rPr>
        <w:t xml:space="preserve"> Number</w:t>
      </w:r>
    </w:p>
    <w:p w:rsidR="00E877AB" w:rsidRPr="002A6A5F" w:rsidRDefault="00E877AB" w:rsidP="00E877AB">
      <w:pPr>
        <w:jc w:val="center"/>
        <w:rPr>
          <w:b/>
          <w:sz w:val="56"/>
          <w:szCs w:val="56"/>
        </w:rPr>
      </w:pPr>
      <w:r w:rsidRPr="002A6A5F">
        <w:rPr>
          <w:b/>
          <w:sz w:val="56"/>
          <w:szCs w:val="56"/>
        </w:rPr>
        <w:t>Food Standards Scotland</w:t>
      </w:r>
    </w:p>
    <w:p w:rsidR="00E877AB" w:rsidRPr="002A6A5F" w:rsidRDefault="00E877AB" w:rsidP="00E877AB">
      <w:pPr>
        <w:jc w:val="center"/>
        <w:rPr>
          <w:b/>
          <w:sz w:val="56"/>
          <w:szCs w:val="56"/>
        </w:rPr>
      </w:pPr>
      <w:r w:rsidRPr="002A6A5F">
        <w:rPr>
          <w:b/>
          <w:sz w:val="56"/>
          <w:szCs w:val="56"/>
        </w:rPr>
        <w:t>Local Authority Food Law Enforcement Services</w:t>
      </w:r>
    </w:p>
    <w:p w:rsidR="00E877AB" w:rsidRPr="002A6A5F" w:rsidRDefault="00E877AB" w:rsidP="00E877AB">
      <w:pPr>
        <w:jc w:val="center"/>
        <w:rPr>
          <w:b/>
          <w:sz w:val="56"/>
          <w:szCs w:val="56"/>
        </w:rPr>
      </w:pPr>
      <w:r w:rsidRPr="002A6A5F">
        <w:rPr>
          <w:b/>
          <w:sz w:val="56"/>
          <w:szCs w:val="56"/>
        </w:rPr>
        <w:t>Capacity and Capability Audit</w:t>
      </w:r>
    </w:p>
    <w:p w:rsidR="00E877AB" w:rsidRPr="002A6A5F" w:rsidRDefault="003C39BC" w:rsidP="00E877AB">
      <w:pPr>
        <w:jc w:val="center"/>
        <w:rPr>
          <w:b/>
          <w:sz w:val="56"/>
          <w:szCs w:val="56"/>
        </w:rPr>
      </w:pPr>
      <w:r>
        <w:rPr>
          <w:b/>
          <w:sz w:val="56"/>
          <w:szCs w:val="56"/>
        </w:rPr>
        <w:t>Regulation (EU</w:t>
      </w:r>
      <w:proofErr w:type="gramStart"/>
      <w:r>
        <w:rPr>
          <w:b/>
          <w:sz w:val="56"/>
          <w:szCs w:val="56"/>
        </w:rPr>
        <w:t>)</w:t>
      </w:r>
      <w:r w:rsidR="00B66E4F">
        <w:rPr>
          <w:b/>
          <w:sz w:val="56"/>
          <w:szCs w:val="56"/>
        </w:rPr>
        <w:t>2017</w:t>
      </w:r>
      <w:proofErr w:type="gramEnd"/>
      <w:r w:rsidR="00B66E4F">
        <w:rPr>
          <w:b/>
          <w:sz w:val="56"/>
          <w:szCs w:val="56"/>
        </w:rPr>
        <w:t xml:space="preserve">/625 </w:t>
      </w:r>
      <w:r w:rsidR="00E877AB" w:rsidRPr="002A6A5F">
        <w:rPr>
          <w:b/>
          <w:sz w:val="56"/>
          <w:szCs w:val="56"/>
        </w:rPr>
        <w:t>Checklist</w:t>
      </w:r>
      <w:r w:rsidR="00B66E4F">
        <w:rPr>
          <w:b/>
          <w:sz w:val="56"/>
          <w:szCs w:val="56"/>
        </w:rPr>
        <w:t xml:space="preserve"> – Article 1</w:t>
      </w:r>
    </w:p>
    <w:p w:rsidR="00E877AB" w:rsidRPr="00B428B1" w:rsidRDefault="00E877AB" w:rsidP="00E877AB">
      <w:pPr>
        <w:rPr>
          <w:rFonts w:cs="Times New Roman"/>
          <w:b/>
          <w:sz w:val="32"/>
          <w:szCs w:val="20"/>
        </w:rPr>
      </w:pPr>
    </w:p>
    <w:p w:rsidR="00E877AB" w:rsidRDefault="00E877AB" w:rsidP="00E877AB">
      <w:pPr>
        <w:spacing w:line="276" w:lineRule="auto"/>
        <w:jc w:val="right"/>
        <w:rPr>
          <w:rFonts w:cs="Times New Roman"/>
          <w:sz w:val="40"/>
          <w:szCs w:val="40"/>
        </w:rPr>
        <w:sectPr w:rsidR="00E877AB" w:rsidSect="000F695A">
          <w:headerReference w:type="even" r:id="rId9"/>
          <w:headerReference w:type="default" r:id="rId10"/>
          <w:footerReference w:type="even" r:id="rId11"/>
          <w:footerReference w:type="default" r:id="rId12"/>
          <w:headerReference w:type="first" r:id="rId13"/>
          <w:footerReference w:type="first" r:id="rId14"/>
          <w:pgSz w:w="16838" w:h="11906" w:orient="landscape"/>
          <w:pgMar w:top="1135" w:right="993" w:bottom="1133" w:left="993" w:header="720" w:footer="737" w:gutter="0"/>
          <w:cols w:space="720"/>
          <w:docGrid w:linePitch="326"/>
        </w:sectPr>
      </w:pPr>
    </w:p>
    <w:tbl>
      <w:tblPr>
        <w:tblW w:w="14743" w:type="dxa"/>
        <w:tblInd w:w="-37" w:type="dxa"/>
        <w:tblCellMar>
          <w:left w:w="0" w:type="dxa"/>
          <w:right w:w="0" w:type="dxa"/>
        </w:tblCellMar>
        <w:tblLook w:val="04A0" w:firstRow="1" w:lastRow="0" w:firstColumn="1" w:lastColumn="0" w:noHBand="0" w:noVBand="1"/>
      </w:tblPr>
      <w:tblGrid>
        <w:gridCol w:w="14743"/>
      </w:tblGrid>
      <w:tr w:rsidR="00E877AB" w:rsidRPr="004023FD" w:rsidTr="007F7B91">
        <w:trPr>
          <w:trHeight w:val="895"/>
          <w:tblHeader/>
        </w:trPr>
        <w:tc>
          <w:tcPr>
            <w:tcW w:w="1474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E877AB" w:rsidRPr="00DF1859" w:rsidRDefault="00E877AB" w:rsidP="007F7B91">
            <w:pPr>
              <w:autoSpaceDE w:val="0"/>
              <w:autoSpaceDN w:val="0"/>
              <w:adjustRightInd w:val="0"/>
              <w:spacing w:line="276" w:lineRule="auto"/>
              <w:jc w:val="center"/>
            </w:pPr>
            <w:r w:rsidRPr="00DF1859">
              <w:rPr>
                <w:b/>
              </w:rPr>
              <w:lastRenderedPageBreak/>
              <w:t xml:space="preserve">Regulation </w:t>
            </w:r>
            <w:r>
              <w:rPr>
                <w:b/>
              </w:rPr>
              <w:t>(</w:t>
            </w:r>
            <w:r w:rsidRPr="00DF1859">
              <w:rPr>
                <w:b/>
              </w:rPr>
              <w:t>E</w:t>
            </w:r>
            <w:r>
              <w:rPr>
                <w:b/>
              </w:rPr>
              <w:t>U) 2017</w:t>
            </w:r>
            <w:r w:rsidRPr="00DF1859">
              <w:rPr>
                <w:b/>
              </w:rPr>
              <w:t>/</w:t>
            </w:r>
            <w:r>
              <w:rPr>
                <w:b/>
              </w:rPr>
              <w:t>625</w:t>
            </w:r>
            <w:r w:rsidRPr="00DF1859">
              <w:rPr>
                <w:b/>
              </w:rPr>
              <w:t xml:space="preserve"> </w:t>
            </w:r>
            <w:r w:rsidR="007F7B91">
              <w:rPr>
                <w:b/>
              </w:rPr>
              <w:t xml:space="preserve">                                                                                                                                                                                 </w:t>
            </w:r>
            <w:r>
              <w:rPr>
                <w:b/>
              </w:rPr>
              <w:t>Article 1(2)</w:t>
            </w:r>
            <w:r>
              <w:rPr>
                <w:rStyle w:val="legds2"/>
                <w:color w:val="000000"/>
                <w:sz w:val="23"/>
                <w:szCs w:val="23"/>
                <w:lang w:val="en"/>
                <w:specVanish w:val="0"/>
              </w:rPr>
              <w:t xml:space="preserve"> </w:t>
            </w:r>
            <w:r w:rsidR="007F7B91">
              <w:rPr>
                <w:rStyle w:val="legds2"/>
                <w:color w:val="000000"/>
                <w:sz w:val="23"/>
                <w:szCs w:val="23"/>
                <w:lang w:val="en"/>
              </w:rPr>
              <w:t xml:space="preserve">                                                                                                                                                                                                              </w:t>
            </w:r>
            <w:r w:rsidRPr="008666CD">
              <w:rPr>
                <w:rStyle w:val="legds2"/>
                <w:b/>
                <w:bCs/>
                <w:color w:val="000000"/>
                <w:sz w:val="23"/>
                <w:szCs w:val="23"/>
                <w:lang w:val="en"/>
                <w:specVanish w:val="0"/>
              </w:rPr>
              <w:t>Subject matter and scope</w:t>
            </w:r>
          </w:p>
        </w:tc>
      </w:tr>
      <w:tr w:rsidR="00E877AB" w:rsidRPr="00537F74" w:rsidTr="007F7B91">
        <w:trPr>
          <w:trHeight w:val="5666"/>
        </w:trPr>
        <w:tc>
          <w:tcPr>
            <w:tcW w:w="14743"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E877AB" w:rsidRPr="009F481D" w:rsidRDefault="00E877AB" w:rsidP="0099776A">
            <w:pPr>
              <w:shd w:val="clear" w:color="auto" w:fill="FFFFFF"/>
              <w:spacing w:after="240" w:line="360" w:lineRule="atLeast"/>
              <w:rPr>
                <w:color w:val="000000"/>
                <w:sz w:val="22"/>
                <w:szCs w:val="20"/>
                <w:lang w:val="en"/>
              </w:rPr>
            </w:pPr>
            <w:r w:rsidRPr="009F481D">
              <w:rPr>
                <w:color w:val="000000"/>
                <w:sz w:val="22"/>
                <w:szCs w:val="20"/>
                <w:lang w:val="en"/>
              </w:rPr>
              <w:t>This Regulation shall apply to the official controls performed for the verification of compliance with the rules, whether established at Union level or by the Member States, to apply Union legislation, in the areas of:</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(a) food and food safety, integrity and wholesomeness at any stage of production, processing and distribution of food, including rules aimed at ensuring fair practices in trade and protecting consumer interests and information, and the manufacture and use of materials and articles intended to come into contact with food;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(b) deliberate release into the environment of Genetically Modified Organisms (GMOs) for the purpose of food and feed production;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(c) feed and feed safety at any stage of production, processing and distribution of feed and the use of feed, including rules aimed at ensuring fair practices in trade and protecting consumer health, interests and information;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(d) animal health requirements;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(e) prevention and minimisation of risks to human and animal health arising from animal by-products and derived products;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(f) welfare requirements for animals;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(g) protective measures against pests of plants;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(h) requirements for the placing on the market and use of plant protection products and the sustainable use of pesticides, with the exception of pesticides application equipment; </w:t>
            </w:r>
          </w:p>
          <w:p w:rsidR="00E877AB" w:rsidRPr="009F481D" w:rsidRDefault="00E877AB" w:rsidP="0099776A">
            <w:pPr>
              <w:shd w:val="clear" w:color="auto" w:fill="FFFFFF"/>
              <w:spacing w:line="360" w:lineRule="atLeast"/>
              <w:rPr>
                <w:color w:val="000000"/>
                <w:sz w:val="22"/>
                <w:szCs w:val="20"/>
                <w:lang w:val="en"/>
              </w:rPr>
            </w:pPr>
            <w:r w:rsidRPr="009F481D">
              <w:rPr>
                <w:color w:val="000000"/>
                <w:sz w:val="22"/>
                <w:szCs w:val="20"/>
                <w:lang w:val="en"/>
              </w:rPr>
              <w:t xml:space="preserve">(i) organic production and labelling of organic products; </w:t>
            </w:r>
          </w:p>
          <w:p w:rsidR="00E877AB" w:rsidRPr="009F481D" w:rsidRDefault="00E877AB" w:rsidP="00066839">
            <w:pPr>
              <w:shd w:val="clear" w:color="auto" w:fill="FFFFFF"/>
              <w:spacing w:line="360" w:lineRule="atLeast"/>
              <w:rPr>
                <w:sz w:val="22"/>
                <w:szCs w:val="20"/>
              </w:rPr>
            </w:pPr>
            <w:r w:rsidRPr="009F481D">
              <w:rPr>
                <w:color w:val="000000"/>
                <w:sz w:val="22"/>
                <w:szCs w:val="20"/>
                <w:lang w:val="en"/>
              </w:rPr>
              <w:t xml:space="preserve">(j) </w:t>
            </w:r>
            <w:proofErr w:type="gramStart"/>
            <w:r w:rsidRPr="009F481D">
              <w:rPr>
                <w:color w:val="000000"/>
                <w:sz w:val="22"/>
                <w:szCs w:val="20"/>
                <w:lang w:val="en"/>
              </w:rPr>
              <w:t>use</w:t>
            </w:r>
            <w:proofErr w:type="gramEnd"/>
            <w:r w:rsidRPr="009F481D">
              <w:rPr>
                <w:color w:val="000000"/>
                <w:sz w:val="22"/>
                <w:szCs w:val="20"/>
                <w:lang w:val="en"/>
              </w:rPr>
              <w:t xml:space="preserve"> and labelling of protected designations of origin, protected geographical indications and traditional specialities guaranteed. </w:t>
            </w:r>
          </w:p>
        </w:tc>
      </w:tr>
    </w:tbl>
    <w:tbl>
      <w:tblPr>
        <w:tblpPr w:leftFromText="180" w:rightFromText="180" w:vertAnchor="text" w:horzAnchor="margin" w:tblpY="-26"/>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1127"/>
        <w:gridCol w:w="4940"/>
        <w:gridCol w:w="5151"/>
      </w:tblGrid>
      <w:tr w:rsidR="007F7B91" w:rsidRPr="00705417" w:rsidTr="006125DE">
        <w:tc>
          <w:tcPr>
            <w:tcW w:w="14743" w:type="dxa"/>
            <w:gridSpan w:val="4"/>
            <w:shd w:val="clear" w:color="auto" w:fill="E2EFD9" w:themeFill="accent6" w:themeFillTint="33"/>
          </w:tcPr>
          <w:p w:rsidR="007F7B91" w:rsidRPr="00705417" w:rsidRDefault="007F7B91" w:rsidP="007F7B91">
            <w:pPr>
              <w:jc w:val="center"/>
              <w:rPr>
                <w:b/>
                <w:sz w:val="20"/>
                <w:szCs w:val="20"/>
              </w:rPr>
            </w:pPr>
            <w:r w:rsidRPr="00DF1859">
              <w:rPr>
                <w:b/>
              </w:rPr>
              <w:lastRenderedPageBreak/>
              <w:t xml:space="preserve">Regulation </w:t>
            </w:r>
            <w:r>
              <w:rPr>
                <w:b/>
              </w:rPr>
              <w:t>(</w:t>
            </w:r>
            <w:r w:rsidRPr="00DF1859">
              <w:rPr>
                <w:b/>
              </w:rPr>
              <w:t>E</w:t>
            </w:r>
            <w:r>
              <w:rPr>
                <w:b/>
              </w:rPr>
              <w:t>U) 2017</w:t>
            </w:r>
            <w:r w:rsidRPr="00DF1859">
              <w:rPr>
                <w:b/>
              </w:rPr>
              <w:t>/</w:t>
            </w:r>
            <w:r>
              <w:rPr>
                <w:b/>
              </w:rPr>
              <w:t>625</w:t>
            </w:r>
            <w:r w:rsidRPr="00DF1859">
              <w:rPr>
                <w:b/>
              </w:rPr>
              <w:t xml:space="preserve"> </w:t>
            </w:r>
            <w:r>
              <w:rPr>
                <w:b/>
              </w:rPr>
              <w:t xml:space="preserve">                                                                                                                                                                                 Article 1(2)</w:t>
            </w:r>
            <w:r>
              <w:rPr>
                <w:rStyle w:val="legds2"/>
                <w:color w:val="000000"/>
                <w:sz w:val="23"/>
                <w:szCs w:val="23"/>
                <w:lang w:val="en"/>
                <w:specVanish w:val="0"/>
              </w:rPr>
              <w:t xml:space="preserve">                                                                                                                                                                                                               </w:t>
            </w:r>
            <w:r w:rsidRPr="008666CD">
              <w:rPr>
                <w:rStyle w:val="legds2"/>
                <w:b/>
                <w:bCs/>
                <w:color w:val="000000"/>
                <w:sz w:val="23"/>
                <w:szCs w:val="23"/>
                <w:lang w:val="en"/>
                <w:specVanish w:val="0"/>
              </w:rPr>
              <w:t>Subject matter and scope</w:t>
            </w:r>
          </w:p>
        </w:tc>
      </w:tr>
      <w:tr w:rsidR="00066839" w:rsidRPr="00705417" w:rsidTr="00066839">
        <w:tc>
          <w:tcPr>
            <w:tcW w:w="3525" w:type="dxa"/>
            <w:shd w:val="clear" w:color="auto" w:fill="E2EFD9" w:themeFill="accent6" w:themeFillTint="33"/>
          </w:tcPr>
          <w:p w:rsidR="00066839" w:rsidRPr="00705417" w:rsidRDefault="00066839" w:rsidP="00066839">
            <w:pPr>
              <w:rPr>
                <w:b/>
                <w:sz w:val="20"/>
                <w:szCs w:val="20"/>
              </w:rPr>
            </w:pPr>
            <w:r w:rsidRPr="00705417">
              <w:rPr>
                <w:b/>
                <w:sz w:val="20"/>
                <w:szCs w:val="20"/>
              </w:rPr>
              <w:t>Question</w:t>
            </w:r>
          </w:p>
        </w:tc>
        <w:tc>
          <w:tcPr>
            <w:tcW w:w="1127" w:type="dxa"/>
            <w:shd w:val="clear" w:color="auto" w:fill="E2EFD9" w:themeFill="accent6" w:themeFillTint="33"/>
          </w:tcPr>
          <w:p w:rsidR="00066839" w:rsidRPr="00705417" w:rsidRDefault="00066839" w:rsidP="00066839">
            <w:pPr>
              <w:rPr>
                <w:b/>
                <w:sz w:val="20"/>
                <w:szCs w:val="20"/>
              </w:rPr>
            </w:pPr>
            <w:r w:rsidRPr="00705417">
              <w:rPr>
                <w:b/>
                <w:sz w:val="20"/>
                <w:szCs w:val="20"/>
              </w:rPr>
              <w:t>Answer</w:t>
            </w:r>
          </w:p>
        </w:tc>
        <w:tc>
          <w:tcPr>
            <w:tcW w:w="4940" w:type="dxa"/>
            <w:shd w:val="clear" w:color="auto" w:fill="E2EFD9" w:themeFill="accent6" w:themeFillTint="33"/>
          </w:tcPr>
          <w:p w:rsidR="00066839" w:rsidRPr="00705417" w:rsidRDefault="00066839" w:rsidP="00066839">
            <w:pPr>
              <w:rPr>
                <w:b/>
                <w:sz w:val="20"/>
                <w:szCs w:val="20"/>
              </w:rPr>
            </w:pPr>
            <w:r w:rsidRPr="00705417">
              <w:rPr>
                <w:b/>
                <w:sz w:val="20"/>
                <w:szCs w:val="20"/>
              </w:rPr>
              <w:t>Comments/Evidence</w:t>
            </w:r>
          </w:p>
        </w:tc>
        <w:tc>
          <w:tcPr>
            <w:tcW w:w="5151" w:type="dxa"/>
            <w:shd w:val="clear" w:color="auto" w:fill="E2EFD9" w:themeFill="accent6" w:themeFillTint="33"/>
          </w:tcPr>
          <w:p w:rsidR="00066839" w:rsidRPr="00705417" w:rsidRDefault="00066839" w:rsidP="00066839">
            <w:pPr>
              <w:rPr>
                <w:b/>
                <w:sz w:val="20"/>
                <w:szCs w:val="20"/>
              </w:rPr>
            </w:pPr>
            <w:r w:rsidRPr="00705417">
              <w:rPr>
                <w:b/>
                <w:sz w:val="20"/>
                <w:szCs w:val="20"/>
              </w:rPr>
              <w:t>Auditors Notes</w:t>
            </w:r>
          </w:p>
        </w:tc>
      </w:tr>
      <w:tr w:rsidR="00066839" w:rsidRPr="009F481D" w:rsidTr="009F481D">
        <w:trPr>
          <w:trHeight w:val="1160"/>
        </w:trPr>
        <w:tc>
          <w:tcPr>
            <w:tcW w:w="3525" w:type="dxa"/>
            <w:shd w:val="clear" w:color="auto" w:fill="FFFFFF" w:themeFill="background1"/>
          </w:tcPr>
          <w:p w:rsidR="00066839" w:rsidRDefault="00066839" w:rsidP="00066839">
            <w:r w:rsidRPr="009F481D">
              <w:rPr>
                <w:sz w:val="22"/>
              </w:rPr>
              <w:t>Is the LA enforcing the Regulation?</w:t>
            </w:r>
          </w:p>
        </w:tc>
        <w:tc>
          <w:tcPr>
            <w:tcW w:w="1127" w:type="dxa"/>
            <w:shd w:val="clear" w:color="auto" w:fill="FFFFFF" w:themeFill="background1"/>
          </w:tcPr>
          <w:p w:rsidR="00066839" w:rsidRDefault="007F7B91" w:rsidP="00066839">
            <w:r>
              <w:t>Yes/No</w:t>
            </w:r>
          </w:p>
        </w:tc>
        <w:tc>
          <w:tcPr>
            <w:tcW w:w="4940" w:type="dxa"/>
            <w:shd w:val="clear" w:color="auto" w:fill="FFFFFF" w:themeFill="background1"/>
          </w:tcPr>
          <w:p w:rsidR="00066839" w:rsidRDefault="00066839" w:rsidP="00066839"/>
          <w:p w:rsidR="00066839" w:rsidRDefault="00066839" w:rsidP="00066839"/>
          <w:p w:rsidR="00066839" w:rsidRDefault="00066839" w:rsidP="00066839"/>
          <w:p w:rsidR="00066839" w:rsidRDefault="00066839" w:rsidP="00066839"/>
          <w:p w:rsidR="00066839" w:rsidRDefault="00066839" w:rsidP="00066839"/>
        </w:tc>
        <w:tc>
          <w:tcPr>
            <w:tcW w:w="5151" w:type="dxa"/>
            <w:shd w:val="clear" w:color="auto" w:fill="FFFFFF" w:themeFill="background1"/>
          </w:tcPr>
          <w:p w:rsidR="00066839" w:rsidRPr="009F481D" w:rsidRDefault="00066839" w:rsidP="00066839">
            <w:pPr>
              <w:rPr>
                <w:sz w:val="22"/>
              </w:rPr>
            </w:pPr>
            <w:r w:rsidRPr="009F481D">
              <w:rPr>
                <w:sz w:val="22"/>
              </w:rPr>
              <w:t>Capture the areas covered in broad terms</w:t>
            </w:r>
          </w:p>
          <w:p w:rsidR="00066839" w:rsidRPr="009F481D" w:rsidRDefault="00066839" w:rsidP="00066839">
            <w:pPr>
              <w:rPr>
                <w:sz w:val="22"/>
              </w:rPr>
            </w:pPr>
            <w:r w:rsidRPr="009F481D">
              <w:rPr>
                <w:sz w:val="22"/>
              </w:rPr>
              <w:t>Include EU and Domestic aspects &amp; legislation</w:t>
            </w:r>
          </w:p>
          <w:p w:rsidR="00066839" w:rsidRPr="009F481D" w:rsidRDefault="00066839" w:rsidP="00066839">
            <w:pPr>
              <w:rPr>
                <w:sz w:val="22"/>
              </w:rPr>
            </w:pPr>
            <w:r w:rsidRPr="009F481D">
              <w:rPr>
                <w:sz w:val="22"/>
              </w:rPr>
              <w:t>Integrated OC’s or stand alone</w:t>
            </w:r>
          </w:p>
          <w:p w:rsidR="00066839" w:rsidRPr="009F481D" w:rsidRDefault="00066839" w:rsidP="00066839">
            <w:pPr>
              <w:rPr>
                <w:sz w:val="22"/>
              </w:rPr>
            </w:pPr>
            <w:r w:rsidRPr="009F481D">
              <w:rPr>
                <w:sz w:val="22"/>
              </w:rPr>
              <w:t xml:space="preserve">Complete </w:t>
            </w:r>
            <w:proofErr w:type="spellStart"/>
            <w:r w:rsidRPr="009F481D">
              <w:rPr>
                <w:sz w:val="22"/>
              </w:rPr>
              <w:t>agri</w:t>
            </w:r>
            <w:proofErr w:type="spellEnd"/>
            <w:r w:rsidRPr="009F481D">
              <w:rPr>
                <w:sz w:val="22"/>
              </w:rPr>
              <w:t>-food chain or parts</w:t>
            </w:r>
          </w:p>
          <w:p w:rsidR="00066839" w:rsidRPr="009F481D" w:rsidRDefault="00066839" w:rsidP="00066839">
            <w:pPr>
              <w:rPr>
                <w:sz w:val="22"/>
              </w:rPr>
            </w:pPr>
            <w:r w:rsidRPr="009F481D">
              <w:rPr>
                <w:sz w:val="22"/>
              </w:rPr>
              <w:t>Integrity and fraud ready</w:t>
            </w:r>
          </w:p>
          <w:p w:rsidR="00066839" w:rsidRPr="009F481D" w:rsidRDefault="00066839" w:rsidP="00066839">
            <w:pPr>
              <w:rPr>
                <w:sz w:val="22"/>
              </w:rPr>
            </w:pPr>
            <w:r w:rsidRPr="009F481D">
              <w:rPr>
                <w:sz w:val="22"/>
              </w:rPr>
              <w:t>Food contact materials</w:t>
            </w:r>
          </w:p>
          <w:p w:rsidR="00066839" w:rsidRPr="009F481D" w:rsidRDefault="00066839" w:rsidP="00066839">
            <w:pPr>
              <w:rPr>
                <w:sz w:val="22"/>
              </w:rPr>
            </w:pPr>
            <w:r w:rsidRPr="009F481D">
              <w:rPr>
                <w:sz w:val="22"/>
              </w:rPr>
              <w:t>GMO’s considered and recorded</w:t>
            </w:r>
          </w:p>
          <w:p w:rsidR="00066839" w:rsidRPr="009F481D" w:rsidRDefault="00066839" w:rsidP="00706D77">
            <w:pPr>
              <w:rPr>
                <w:sz w:val="20"/>
              </w:rPr>
            </w:pPr>
            <w:r w:rsidRPr="009F481D">
              <w:rPr>
                <w:sz w:val="22"/>
              </w:rPr>
              <w:t>Fair practices being enforced</w:t>
            </w:r>
          </w:p>
        </w:tc>
      </w:tr>
    </w:tbl>
    <w:p w:rsidR="00E877AB" w:rsidRDefault="00E877AB" w:rsidP="00E877AB">
      <w:pPr>
        <w:spacing w:after="200" w:line="276" w:lineRule="auto"/>
        <w:rPr>
          <w:color w:val="000000"/>
        </w:rPr>
      </w:pPr>
    </w:p>
    <w:p w:rsidR="00027C27" w:rsidRPr="009B7615" w:rsidRDefault="00027C27" w:rsidP="00B561C0">
      <w:bookmarkStart w:id="0" w:name="_GoBack"/>
      <w:bookmarkEnd w:id="0"/>
    </w:p>
    <w:sectPr w:rsidR="00027C27" w:rsidRPr="009B7615" w:rsidSect="00706D77">
      <w:pgSz w:w="16838" w:h="11906" w:orient="landscape" w:code="9"/>
      <w:pgMar w:top="1440" w:right="1440" w:bottom="127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E9" w:rsidRDefault="00B66E4F">
      <w:r>
        <w:separator/>
      </w:r>
    </w:p>
  </w:endnote>
  <w:endnote w:type="continuationSeparator" w:id="0">
    <w:p w:rsidR="002354E9" w:rsidRDefault="00B6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C6" w:rsidRDefault="007F7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Pr="008A40A2" w:rsidRDefault="00B66E4F" w:rsidP="003919B7">
    <w:pPr>
      <w:spacing w:before="120"/>
      <w:jc w:val="center"/>
      <w:rPr>
        <w:sz w:val="20"/>
      </w:rPr>
    </w:pPr>
    <w:r w:rsidRPr="005A03FD">
      <w:rPr>
        <w:sz w:val="22"/>
        <w:szCs w:val="22"/>
      </w:rPr>
      <w:t>Food Standards Scotland</w:t>
    </w:r>
    <w:r>
      <w:rPr>
        <w:sz w:val="22"/>
        <w:szCs w:val="22"/>
      </w:rPr>
      <w:t xml:space="preserve">                       </w:t>
    </w:r>
    <w:r w:rsidRPr="005A03FD">
      <w:rPr>
        <w:sz w:val="22"/>
        <w:szCs w:val="22"/>
      </w:rPr>
      <w:t xml:space="preserve"> – </w:t>
    </w:r>
    <w:r>
      <w:rPr>
        <w:sz w:val="22"/>
        <w:szCs w:val="22"/>
      </w:rPr>
      <w:t xml:space="preserve">                      </w:t>
    </w:r>
    <w:r w:rsidRPr="005A03FD">
      <w:rPr>
        <w:sz w:val="22"/>
        <w:szCs w:val="22"/>
      </w:rPr>
      <w:t xml:space="preserve">Capacity </w:t>
    </w:r>
    <w:r>
      <w:rPr>
        <w:sz w:val="22"/>
        <w:szCs w:val="22"/>
      </w:rPr>
      <w:t xml:space="preserve">and Capability Audit Checklist                       -                         </w:t>
    </w:r>
    <w:r w:rsidR="003C39BC">
      <w:rPr>
        <w:sz w:val="22"/>
        <w:szCs w:val="22"/>
      </w:rPr>
      <w:t xml:space="preserve">March </w:t>
    </w:r>
    <w:r>
      <w:rPr>
        <w:sz w:val="22"/>
        <w:szCs w:val="22"/>
      </w:rPr>
      <w:t>2020</w:t>
    </w:r>
    <w:r w:rsidRPr="006937B2">
      <w:rPr>
        <w:sz w:val="22"/>
        <w:szCs w:val="22"/>
      </w:rPr>
      <w:t xml:space="preserve"> </w:t>
    </w:r>
    <w:r w:rsidRPr="008A40A2">
      <w:rPr>
        <w:sz w:val="20"/>
      </w:rPr>
      <w:tab/>
    </w:r>
    <w:r w:rsidRPr="008A40A2">
      <w:rPr>
        <w:sz w:val="20"/>
      </w:rPr>
      <w:tab/>
    </w:r>
    <w:r>
      <w:rPr>
        <w:sz w:val="20"/>
      </w:rPr>
      <w:tab/>
    </w:r>
    <w:r>
      <w:rPr>
        <w:sz w:val="20"/>
      </w:rPr>
      <w:tab/>
    </w:r>
    <w:r w:rsidRPr="008A40A2">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C6" w:rsidRDefault="007F7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E9" w:rsidRDefault="00B66E4F">
      <w:r>
        <w:separator/>
      </w:r>
    </w:p>
  </w:footnote>
  <w:footnote w:type="continuationSeparator" w:id="0">
    <w:p w:rsidR="002354E9" w:rsidRDefault="00B6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7F7B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5" o:spid="_x0000_s2050" type="#_x0000_t136" style="position:absolute;margin-left:0;margin-top:0;width:452.95pt;height:226.45pt;rotation:315;z-index:-251656192;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B66E4F">
    <w:pPr>
      <w:pStyle w:val="Header"/>
    </w:pPr>
    <w:r>
      <w:ptab w:relativeTo="margin" w:alignment="center" w:leader="none"/>
    </w:r>
    <w:r>
      <w:ptab w:relativeTo="margin" w:alignment="right" w:leader="none"/>
    </w:r>
    <w:r w:rsidR="007F7B9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6" o:spid="_x0000_s2051" type="#_x0000_t136" style="position:absolute;margin-left:0;margin-top:0;width:452.95pt;height:226.45pt;rotation:315;z-index:-251655168;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7F7B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4" o:spid="_x0000_s2049" type="#_x0000_t136" style="position:absolute;margin-left:0;margin-top:0;width:452.95pt;height:226.45pt;rotation:315;z-index:-251658240;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B97A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2234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944F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F10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E74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AB"/>
    <w:rsid w:val="00027C27"/>
    <w:rsid w:val="00066839"/>
    <w:rsid w:val="000C0CF4"/>
    <w:rsid w:val="002354E9"/>
    <w:rsid w:val="00281579"/>
    <w:rsid w:val="00306C61"/>
    <w:rsid w:val="0037582B"/>
    <w:rsid w:val="003C39BC"/>
    <w:rsid w:val="005D51B0"/>
    <w:rsid w:val="00706D77"/>
    <w:rsid w:val="007F7B91"/>
    <w:rsid w:val="00857548"/>
    <w:rsid w:val="00890204"/>
    <w:rsid w:val="009B7615"/>
    <w:rsid w:val="009F481D"/>
    <w:rsid w:val="00B51BDC"/>
    <w:rsid w:val="00B561C0"/>
    <w:rsid w:val="00B66E4F"/>
    <w:rsid w:val="00B773CE"/>
    <w:rsid w:val="00C91823"/>
    <w:rsid w:val="00D008AB"/>
    <w:rsid w:val="00E877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5F7D7"/>
  <w15:chartTrackingRefBased/>
  <w15:docId w15:val="{6DF6FE2B-B622-4132-9264-19F0996F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AB"/>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PageNumber">
    <w:name w:val="page number"/>
    <w:basedOn w:val="DefaultParagraphFont"/>
    <w:rsid w:val="00E877AB"/>
  </w:style>
  <w:style w:type="character" w:customStyle="1" w:styleId="legds2">
    <w:name w:val="legds2"/>
    <w:basedOn w:val="DefaultParagraphFont"/>
    <w:rsid w:val="00E877A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6</cp:revision>
  <dcterms:created xsi:type="dcterms:W3CDTF">2020-03-10T10:34:00Z</dcterms:created>
  <dcterms:modified xsi:type="dcterms:W3CDTF">2020-03-10T15:46:00Z</dcterms:modified>
</cp:coreProperties>
</file>