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margi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5F1B37"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5F1B37" w:rsidP="00BE5DCD">
      <w:pPr>
        <w:jc w:val="center"/>
        <w:rPr>
          <w:b/>
          <w:sz w:val="56"/>
          <w:szCs w:val="56"/>
        </w:rPr>
      </w:pPr>
      <w:r>
        <w:rPr>
          <w:b/>
          <w:sz w:val="56"/>
          <w:szCs w:val="56"/>
        </w:rPr>
        <w:t xml:space="preserve">Regulation </w:t>
      </w:r>
      <w:r w:rsidR="001E4B77">
        <w:rPr>
          <w:b/>
          <w:sz w:val="56"/>
          <w:szCs w:val="56"/>
        </w:rPr>
        <w:t xml:space="preserve">(EU) </w:t>
      </w:r>
      <w:r>
        <w:rPr>
          <w:b/>
          <w:sz w:val="56"/>
          <w:szCs w:val="56"/>
        </w:rPr>
        <w:t xml:space="preserve">2017/625 </w:t>
      </w:r>
      <w:r w:rsidR="00BE5DCD" w:rsidRPr="002A6A5F">
        <w:rPr>
          <w:b/>
          <w:sz w:val="56"/>
          <w:szCs w:val="56"/>
        </w:rPr>
        <w:t>Checklist</w:t>
      </w:r>
      <w:r>
        <w:rPr>
          <w:b/>
          <w:sz w:val="56"/>
          <w:szCs w:val="56"/>
        </w:rPr>
        <w:t xml:space="preserve"> – Article 10</w:t>
      </w:r>
    </w:p>
    <w:p w:rsidR="004D6F12" w:rsidRDefault="004D6F12" w:rsidP="00BE5DCD">
      <w:pPr>
        <w:jc w:val="center"/>
        <w:rPr>
          <w:b/>
          <w:sz w:val="56"/>
          <w:szCs w:val="56"/>
        </w:rPr>
      </w:pPr>
    </w:p>
    <w:tbl>
      <w:tblPr>
        <w:tblW w:w="14884"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1200"/>
        <w:gridCol w:w="4689"/>
        <w:gridCol w:w="5542"/>
      </w:tblGrid>
      <w:tr w:rsidR="002B524C" w:rsidTr="009312C2">
        <w:trPr>
          <w:trHeight w:val="597"/>
        </w:trPr>
        <w:tc>
          <w:tcPr>
            <w:tcW w:w="14884" w:type="dxa"/>
            <w:gridSpan w:val="4"/>
            <w:shd w:val="clear" w:color="auto" w:fill="E2EFD9" w:themeFill="accent6" w:themeFillTint="33"/>
          </w:tcPr>
          <w:p w:rsidR="002B524C" w:rsidRPr="003944C0" w:rsidRDefault="002B524C" w:rsidP="00F45B3D">
            <w:pPr>
              <w:autoSpaceDE w:val="0"/>
              <w:autoSpaceDN w:val="0"/>
              <w:adjustRightInd w:val="0"/>
              <w:spacing w:line="276" w:lineRule="auto"/>
              <w:jc w:val="center"/>
              <w:rPr>
                <w:b/>
              </w:rPr>
            </w:pPr>
            <w:r w:rsidRPr="003944C0">
              <w:rPr>
                <w:b/>
              </w:rPr>
              <w:lastRenderedPageBreak/>
              <w:t>Regulation (EU)  2017/625</w:t>
            </w:r>
            <w:r w:rsidR="00ED5C78">
              <w:rPr>
                <w:b/>
              </w:rPr>
              <w:t xml:space="preserve"> </w:t>
            </w:r>
          </w:p>
          <w:p w:rsidR="002B524C" w:rsidRDefault="002B524C" w:rsidP="00F45B3D">
            <w:pPr>
              <w:jc w:val="center"/>
              <w:rPr>
                <w:b/>
              </w:rPr>
            </w:pPr>
            <w:r w:rsidRPr="007179C6">
              <w:rPr>
                <w:b/>
              </w:rPr>
              <w:t xml:space="preserve">Article 10 </w:t>
            </w:r>
            <w:r w:rsidR="00ED5C78" w:rsidRPr="00ED5C78">
              <w:t>(See also Article 148)</w:t>
            </w:r>
          </w:p>
          <w:p w:rsidR="002B524C" w:rsidRDefault="002B524C" w:rsidP="00F45B3D">
            <w:pPr>
              <w:jc w:val="center"/>
            </w:pPr>
            <w:r w:rsidRPr="007179C6">
              <w:rPr>
                <w:b/>
              </w:rPr>
              <w:t>Operators, processes and activities subject to official controls</w:t>
            </w:r>
          </w:p>
        </w:tc>
      </w:tr>
      <w:tr w:rsidR="002B524C" w:rsidTr="00ED5C78">
        <w:trPr>
          <w:trHeight w:val="4639"/>
        </w:trPr>
        <w:tc>
          <w:tcPr>
            <w:tcW w:w="14884" w:type="dxa"/>
            <w:gridSpan w:val="4"/>
          </w:tcPr>
          <w:p w:rsidR="002B524C" w:rsidRPr="00ED5C78" w:rsidRDefault="002B524C" w:rsidP="00E55B76">
            <w:pPr>
              <w:shd w:val="clear" w:color="auto" w:fill="FFFFFF" w:themeFill="background1"/>
              <w:spacing w:line="360" w:lineRule="auto"/>
              <w:rPr>
                <w:sz w:val="22"/>
              </w:rPr>
            </w:pPr>
            <w:r w:rsidRPr="00ED5C78">
              <w:rPr>
                <w:sz w:val="22"/>
              </w:rPr>
              <w:t>1. To the extent necessary to ascertain compliance with the rules referred to in Article 1(2), competent authorities shall perform official controls on:</w:t>
            </w:r>
          </w:p>
          <w:p w:rsidR="002B524C" w:rsidRPr="00ED5C78" w:rsidRDefault="002B524C" w:rsidP="00E55B76">
            <w:pPr>
              <w:shd w:val="clear" w:color="auto" w:fill="FFFFFF" w:themeFill="background1"/>
              <w:spacing w:line="360" w:lineRule="auto"/>
              <w:rPr>
                <w:sz w:val="22"/>
              </w:rPr>
            </w:pPr>
            <w:r w:rsidRPr="00ED5C78">
              <w:rPr>
                <w:sz w:val="22"/>
              </w:rPr>
              <w:t>(a) animals and goods at any stage of production, processing, distribution and use;</w:t>
            </w:r>
          </w:p>
          <w:p w:rsidR="002B524C" w:rsidRPr="00ED5C78" w:rsidRDefault="002B524C" w:rsidP="00E55B76">
            <w:pPr>
              <w:shd w:val="clear" w:color="auto" w:fill="FFFFFF" w:themeFill="background1"/>
              <w:spacing w:line="360" w:lineRule="auto"/>
              <w:rPr>
                <w:sz w:val="22"/>
              </w:rPr>
            </w:pPr>
            <w:r w:rsidRPr="00ED5C78">
              <w:rPr>
                <w:sz w:val="22"/>
              </w:rPr>
              <w:t>(b) substances, materials or other objects which may influence the characteristics or health of animals and goods and their compliance with applicable requirements, at any stage of production, processing, distribution and use;</w:t>
            </w:r>
          </w:p>
          <w:p w:rsidR="002B524C" w:rsidRPr="00ED5C78" w:rsidRDefault="002B524C" w:rsidP="00E55B76">
            <w:pPr>
              <w:shd w:val="clear" w:color="auto" w:fill="FFFFFF" w:themeFill="background1"/>
              <w:spacing w:line="360" w:lineRule="auto"/>
              <w:rPr>
                <w:sz w:val="22"/>
              </w:rPr>
            </w:pPr>
            <w:r w:rsidRPr="00ED5C78">
              <w:rPr>
                <w:sz w:val="22"/>
              </w:rPr>
              <w:t>(c) operators as regards activities, including the keeping of animals, equipment, means of transport, premises and other places under their control and their surroundings and on related documentation.</w:t>
            </w:r>
          </w:p>
          <w:p w:rsidR="002B524C" w:rsidRPr="00ED5C78" w:rsidRDefault="002B524C" w:rsidP="00E55B76">
            <w:pPr>
              <w:shd w:val="clear" w:color="auto" w:fill="FFFFFF" w:themeFill="background1"/>
              <w:spacing w:line="360" w:lineRule="auto"/>
              <w:rPr>
                <w:sz w:val="22"/>
              </w:rPr>
            </w:pPr>
            <w:r w:rsidRPr="00ED5C78">
              <w:rPr>
                <w:sz w:val="22"/>
              </w:rPr>
              <w:t xml:space="preserve">2. Without prejudice to the rules concerning existing lists or registers established </w:t>
            </w:r>
            <w:proofErr w:type="gramStart"/>
            <w:r w:rsidRPr="00ED5C78">
              <w:rPr>
                <w:sz w:val="22"/>
              </w:rPr>
              <w:t>on the basis of</w:t>
            </w:r>
            <w:proofErr w:type="gramEnd"/>
            <w:r w:rsidRPr="00ED5C78">
              <w:rPr>
                <w:sz w:val="22"/>
              </w:rPr>
              <w:t xml:space="preserve"> the rules referred to in Article 1(2), the competent authorities shall draw up and keep up-to-date a list of operators. Where such a list or register already exists for other purposes, it </w:t>
            </w:r>
            <w:proofErr w:type="gramStart"/>
            <w:r w:rsidRPr="00ED5C78">
              <w:rPr>
                <w:sz w:val="22"/>
              </w:rPr>
              <w:t>may also be used</w:t>
            </w:r>
            <w:proofErr w:type="gramEnd"/>
            <w:r w:rsidRPr="00ED5C78">
              <w:rPr>
                <w:sz w:val="22"/>
              </w:rPr>
              <w:t xml:space="preserve"> for the purposes of this Regulation.</w:t>
            </w:r>
          </w:p>
          <w:p w:rsidR="002B524C" w:rsidRDefault="002B524C" w:rsidP="00E55B76">
            <w:pPr>
              <w:shd w:val="clear" w:color="auto" w:fill="FFFFFF" w:themeFill="background1"/>
              <w:spacing w:line="360" w:lineRule="auto"/>
            </w:pPr>
            <w:proofErr w:type="gramStart"/>
            <w:r w:rsidRPr="00ED5C78">
              <w:rPr>
                <w:sz w:val="22"/>
              </w:rPr>
              <w:t>3. The Commission shall adopt delegated acts in accordance with Article 144 to amend this Regulation concerning the setting out of categories of operators to be exempted from the list of operators referred to in paragraph 2 of this Article where their inclusion in such a list would constitute a disproportionate administrative burden for them compared to the risk related to their activities.</w:t>
            </w:r>
            <w:proofErr w:type="gramEnd"/>
          </w:p>
        </w:tc>
        <w:bookmarkStart w:id="0" w:name="_GoBack"/>
        <w:bookmarkEnd w:id="0"/>
      </w:tr>
      <w:tr w:rsidR="005F1B37" w:rsidTr="005F1B37">
        <w:trPr>
          <w:trHeight w:val="456"/>
        </w:trPr>
        <w:tc>
          <w:tcPr>
            <w:tcW w:w="3453" w:type="dxa"/>
            <w:shd w:val="clear" w:color="auto" w:fill="E2EFD9" w:themeFill="accent6" w:themeFillTint="33"/>
          </w:tcPr>
          <w:p w:rsidR="005F1B37" w:rsidRPr="00ED5C78" w:rsidRDefault="00ED5C78" w:rsidP="00ED5C78">
            <w:pPr>
              <w:rPr>
                <w:b/>
                <w:sz w:val="20"/>
                <w:szCs w:val="22"/>
              </w:rPr>
            </w:pPr>
            <w:r w:rsidRPr="00ED5C78">
              <w:rPr>
                <w:b/>
                <w:sz w:val="20"/>
                <w:szCs w:val="22"/>
              </w:rPr>
              <w:t>Question</w:t>
            </w:r>
          </w:p>
        </w:tc>
        <w:tc>
          <w:tcPr>
            <w:tcW w:w="1200" w:type="dxa"/>
            <w:shd w:val="clear" w:color="auto" w:fill="E2EFD9" w:themeFill="accent6" w:themeFillTint="33"/>
          </w:tcPr>
          <w:p w:rsidR="005F1B37" w:rsidRPr="00ED5C78" w:rsidRDefault="005F1B37" w:rsidP="00ED5C78">
            <w:pPr>
              <w:rPr>
                <w:b/>
                <w:sz w:val="20"/>
                <w:szCs w:val="22"/>
              </w:rPr>
            </w:pPr>
            <w:r w:rsidRPr="00ED5C78">
              <w:rPr>
                <w:b/>
                <w:sz w:val="20"/>
                <w:szCs w:val="22"/>
              </w:rPr>
              <w:t>Answer</w:t>
            </w:r>
          </w:p>
        </w:tc>
        <w:tc>
          <w:tcPr>
            <w:tcW w:w="4689" w:type="dxa"/>
            <w:shd w:val="clear" w:color="auto" w:fill="E2EFD9" w:themeFill="accent6" w:themeFillTint="33"/>
          </w:tcPr>
          <w:p w:rsidR="005F1B37" w:rsidRPr="00ED5C78" w:rsidRDefault="005F1B37" w:rsidP="00ED5C78">
            <w:pPr>
              <w:rPr>
                <w:b/>
                <w:sz w:val="20"/>
                <w:szCs w:val="22"/>
              </w:rPr>
            </w:pPr>
            <w:r w:rsidRPr="00ED5C78">
              <w:rPr>
                <w:b/>
                <w:sz w:val="20"/>
                <w:szCs w:val="22"/>
              </w:rPr>
              <w:t>Comments/Evidence</w:t>
            </w:r>
          </w:p>
        </w:tc>
        <w:tc>
          <w:tcPr>
            <w:tcW w:w="5542" w:type="dxa"/>
            <w:shd w:val="clear" w:color="auto" w:fill="E2EFD9" w:themeFill="accent6" w:themeFillTint="33"/>
          </w:tcPr>
          <w:p w:rsidR="005F1B37" w:rsidRPr="00ED5C78" w:rsidRDefault="005F1B37" w:rsidP="00ED5C78">
            <w:pPr>
              <w:rPr>
                <w:b/>
                <w:sz w:val="20"/>
                <w:szCs w:val="22"/>
              </w:rPr>
            </w:pPr>
            <w:r w:rsidRPr="00ED5C78">
              <w:rPr>
                <w:b/>
                <w:sz w:val="20"/>
                <w:szCs w:val="22"/>
              </w:rPr>
              <w:t>Auditor</w:t>
            </w:r>
            <w:r w:rsidR="00ED5C78" w:rsidRPr="00ED5C78">
              <w:rPr>
                <w:b/>
                <w:sz w:val="20"/>
                <w:szCs w:val="22"/>
              </w:rPr>
              <w:t>’</w:t>
            </w:r>
            <w:r w:rsidRPr="00ED5C78">
              <w:rPr>
                <w:b/>
                <w:sz w:val="20"/>
                <w:szCs w:val="22"/>
              </w:rPr>
              <w:t>s Notes</w:t>
            </w:r>
          </w:p>
        </w:tc>
      </w:tr>
      <w:tr w:rsidR="005F1B37" w:rsidTr="005F1B37">
        <w:trPr>
          <w:trHeight w:val="456"/>
        </w:trPr>
        <w:tc>
          <w:tcPr>
            <w:tcW w:w="3453" w:type="dxa"/>
            <w:shd w:val="clear" w:color="auto" w:fill="FFFFFF" w:themeFill="background1"/>
          </w:tcPr>
          <w:p w:rsidR="005F1B37" w:rsidRPr="00ED5C78" w:rsidRDefault="009312C2" w:rsidP="009312C2">
            <w:pPr>
              <w:rPr>
                <w:sz w:val="22"/>
              </w:rPr>
            </w:pPr>
            <w:r w:rsidRPr="00ED5C78">
              <w:rPr>
                <w:sz w:val="22"/>
              </w:rPr>
              <w:t xml:space="preserve">What OC’s are done on goods during production, processing, distributing and </w:t>
            </w:r>
            <w:proofErr w:type="gramStart"/>
            <w:r w:rsidRPr="00ED5C78">
              <w:rPr>
                <w:sz w:val="22"/>
              </w:rPr>
              <w:t>use.</w:t>
            </w:r>
            <w:proofErr w:type="gramEnd"/>
          </w:p>
        </w:tc>
        <w:tc>
          <w:tcPr>
            <w:tcW w:w="1200" w:type="dxa"/>
            <w:shd w:val="clear" w:color="auto" w:fill="FFFFFF" w:themeFill="background1"/>
          </w:tcPr>
          <w:p w:rsidR="005F1B37" w:rsidRPr="00ED5C78" w:rsidRDefault="005F1B37" w:rsidP="005F1B37">
            <w:pPr>
              <w:jc w:val="center"/>
              <w:rPr>
                <w:b/>
                <w:sz w:val="22"/>
                <w:szCs w:val="20"/>
              </w:rPr>
            </w:pPr>
          </w:p>
        </w:tc>
        <w:tc>
          <w:tcPr>
            <w:tcW w:w="4689" w:type="dxa"/>
            <w:shd w:val="clear" w:color="auto" w:fill="FFFFFF" w:themeFill="background1"/>
          </w:tcPr>
          <w:p w:rsidR="005F1B37" w:rsidRPr="00ED5C78" w:rsidRDefault="005F1B37" w:rsidP="005F1B37">
            <w:pPr>
              <w:jc w:val="center"/>
              <w:rPr>
                <w:b/>
                <w:sz w:val="22"/>
                <w:szCs w:val="20"/>
              </w:rPr>
            </w:pPr>
          </w:p>
        </w:tc>
        <w:tc>
          <w:tcPr>
            <w:tcW w:w="5542" w:type="dxa"/>
            <w:shd w:val="clear" w:color="auto" w:fill="FFFFFF" w:themeFill="background1"/>
          </w:tcPr>
          <w:p w:rsidR="005F1B37" w:rsidRPr="00ED5C78" w:rsidRDefault="009312C2" w:rsidP="009312C2">
            <w:pPr>
              <w:rPr>
                <w:sz w:val="22"/>
                <w:szCs w:val="20"/>
              </w:rPr>
            </w:pPr>
            <w:r w:rsidRPr="00ED5C78">
              <w:rPr>
                <w:sz w:val="22"/>
                <w:szCs w:val="20"/>
              </w:rPr>
              <w:t>FSMS checks</w:t>
            </w:r>
          </w:p>
        </w:tc>
      </w:tr>
      <w:tr w:rsidR="005F1B37" w:rsidTr="005F1B37">
        <w:trPr>
          <w:trHeight w:val="456"/>
        </w:trPr>
        <w:tc>
          <w:tcPr>
            <w:tcW w:w="3453" w:type="dxa"/>
            <w:shd w:val="clear" w:color="auto" w:fill="FFFFFF" w:themeFill="background1"/>
          </w:tcPr>
          <w:p w:rsidR="005F1B37" w:rsidRPr="00ED5C78" w:rsidRDefault="009312C2" w:rsidP="009312C2">
            <w:pPr>
              <w:rPr>
                <w:sz w:val="22"/>
              </w:rPr>
            </w:pPr>
            <w:r w:rsidRPr="00ED5C78">
              <w:rPr>
                <w:sz w:val="22"/>
              </w:rPr>
              <w:t xml:space="preserve">What OC’s are done on things that may influence the characteristics of goods during their </w:t>
            </w:r>
            <w:proofErr w:type="gramStart"/>
            <w:r w:rsidRPr="00ED5C78">
              <w:rPr>
                <w:sz w:val="22"/>
              </w:rPr>
              <w:t>lifespan.</w:t>
            </w:r>
            <w:proofErr w:type="gramEnd"/>
          </w:p>
        </w:tc>
        <w:tc>
          <w:tcPr>
            <w:tcW w:w="1200" w:type="dxa"/>
            <w:shd w:val="clear" w:color="auto" w:fill="FFFFFF" w:themeFill="background1"/>
          </w:tcPr>
          <w:p w:rsidR="005F1B37" w:rsidRPr="00ED5C78" w:rsidRDefault="005F1B37" w:rsidP="005F1B37">
            <w:pPr>
              <w:jc w:val="center"/>
              <w:rPr>
                <w:b/>
                <w:sz w:val="22"/>
                <w:szCs w:val="20"/>
              </w:rPr>
            </w:pPr>
          </w:p>
        </w:tc>
        <w:tc>
          <w:tcPr>
            <w:tcW w:w="4689" w:type="dxa"/>
            <w:shd w:val="clear" w:color="auto" w:fill="FFFFFF" w:themeFill="background1"/>
          </w:tcPr>
          <w:p w:rsidR="005F1B37" w:rsidRPr="00ED5C78" w:rsidRDefault="005F1B37" w:rsidP="005F1B37">
            <w:pPr>
              <w:jc w:val="center"/>
              <w:rPr>
                <w:sz w:val="22"/>
                <w:szCs w:val="20"/>
              </w:rPr>
            </w:pPr>
          </w:p>
        </w:tc>
        <w:tc>
          <w:tcPr>
            <w:tcW w:w="5542" w:type="dxa"/>
            <w:shd w:val="clear" w:color="auto" w:fill="FFFFFF" w:themeFill="background1"/>
          </w:tcPr>
          <w:p w:rsidR="005F1B37" w:rsidRPr="00ED5C78" w:rsidRDefault="009312C2" w:rsidP="009312C2">
            <w:pPr>
              <w:rPr>
                <w:sz w:val="22"/>
                <w:szCs w:val="20"/>
              </w:rPr>
            </w:pPr>
            <w:r w:rsidRPr="00ED5C78">
              <w:rPr>
                <w:sz w:val="22"/>
                <w:szCs w:val="20"/>
              </w:rPr>
              <w:t>FSMS</w:t>
            </w:r>
          </w:p>
        </w:tc>
      </w:tr>
      <w:tr w:rsidR="009312C2" w:rsidTr="005F1B37">
        <w:trPr>
          <w:trHeight w:val="456"/>
        </w:trPr>
        <w:tc>
          <w:tcPr>
            <w:tcW w:w="3453" w:type="dxa"/>
            <w:shd w:val="clear" w:color="auto" w:fill="FFFFFF" w:themeFill="background1"/>
          </w:tcPr>
          <w:p w:rsidR="009312C2" w:rsidRPr="00ED5C78" w:rsidRDefault="009312C2" w:rsidP="009312C2">
            <w:pPr>
              <w:rPr>
                <w:sz w:val="22"/>
              </w:rPr>
            </w:pPr>
            <w:r w:rsidRPr="00ED5C78">
              <w:rPr>
                <w:sz w:val="22"/>
              </w:rPr>
              <w:lastRenderedPageBreak/>
              <w:t>What OC’s are done on activities relating to premises and equipment</w:t>
            </w:r>
          </w:p>
        </w:tc>
        <w:tc>
          <w:tcPr>
            <w:tcW w:w="1200" w:type="dxa"/>
            <w:shd w:val="clear" w:color="auto" w:fill="FFFFFF" w:themeFill="background1"/>
          </w:tcPr>
          <w:p w:rsidR="009312C2" w:rsidRPr="00ED5C78" w:rsidRDefault="009312C2" w:rsidP="005F1B37">
            <w:pPr>
              <w:jc w:val="center"/>
              <w:rPr>
                <w:b/>
                <w:sz w:val="22"/>
                <w:szCs w:val="20"/>
              </w:rPr>
            </w:pPr>
          </w:p>
        </w:tc>
        <w:tc>
          <w:tcPr>
            <w:tcW w:w="4689" w:type="dxa"/>
            <w:shd w:val="clear" w:color="auto" w:fill="FFFFFF" w:themeFill="background1"/>
          </w:tcPr>
          <w:p w:rsidR="009312C2" w:rsidRPr="00ED5C78" w:rsidRDefault="009312C2" w:rsidP="005F1B37">
            <w:pPr>
              <w:jc w:val="center"/>
              <w:rPr>
                <w:b/>
                <w:sz w:val="22"/>
                <w:szCs w:val="20"/>
              </w:rPr>
            </w:pPr>
          </w:p>
        </w:tc>
        <w:tc>
          <w:tcPr>
            <w:tcW w:w="5542" w:type="dxa"/>
            <w:shd w:val="clear" w:color="auto" w:fill="FFFFFF" w:themeFill="background1"/>
          </w:tcPr>
          <w:p w:rsidR="009312C2" w:rsidRPr="00ED5C78" w:rsidRDefault="009312C2" w:rsidP="009312C2">
            <w:pPr>
              <w:rPr>
                <w:sz w:val="22"/>
                <w:szCs w:val="20"/>
              </w:rPr>
            </w:pPr>
            <w:r w:rsidRPr="00ED5C78">
              <w:rPr>
                <w:sz w:val="22"/>
                <w:szCs w:val="20"/>
              </w:rPr>
              <w:t>Cleaning, repairs, maintenance</w:t>
            </w:r>
          </w:p>
        </w:tc>
      </w:tr>
    </w:tbl>
    <w:p w:rsidR="00027C27" w:rsidRPr="009B7615" w:rsidRDefault="00027C27" w:rsidP="00ED5C78"/>
    <w:sectPr w:rsidR="00027C27" w:rsidRPr="009B7615" w:rsidSect="00BE5DCD">
      <w:footerReference w:type="default" r:id="rId9"/>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B37" w:rsidRDefault="005F1B37" w:rsidP="005F1B37">
      <w:r>
        <w:separator/>
      </w:r>
    </w:p>
  </w:endnote>
  <w:endnote w:type="continuationSeparator" w:id="0">
    <w:p w:rsidR="005F1B37" w:rsidRDefault="005F1B37" w:rsidP="005F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37" w:rsidRDefault="005F1B37">
    <w:pPr>
      <w:pStyle w:val="Footer"/>
    </w:pPr>
    <w:r>
      <w:t>Food Standards Scotland</w:t>
    </w:r>
    <w:r>
      <w:ptab w:relativeTo="margin" w:alignment="center" w:leader="none"/>
    </w:r>
    <w:r>
      <w:t>Capacity and Capability Checklist</w:t>
    </w:r>
    <w:r>
      <w:ptab w:relativeTo="margin" w:alignment="right" w:leader="none"/>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B37" w:rsidRDefault="005F1B37" w:rsidP="005F1B37">
      <w:r>
        <w:separator/>
      </w:r>
    </w:p>
  </w:footnote>
  <w:footnote w:type="continuationSeparator" w:id="0">
    <w:p w:rsidR="005F1B37" w:rsidRDefault="005F1B37" w:rsidP="005F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27C27"/>
    <w:rsid w:val="000C0CF4"/>
    <w:rsid w:val="001E4B77"/>
    <w:rsid w:val="00281579"/>
    <w:rsid w:val="002B524C"/>
    <w:rsid w:val="00306C61"/>
    <w:rsid w:val="0037582B"/>
    <w:rsid w:val="00411D25"/>
    <w:rsid w:val="004D6F12"/>
    <w:rsid w:val="005F1B37"/>
    <w:rsid w:val="00857548"/>
    <w:rsid w:val="009312C2"/>
    <w:rsid w:val="009B7615"/>
    <w:rsid w:val="00B51BDC"/>
    <w:rsid w:val="00B561C0"/>
    <w:rsid w:val="00B773CE"/>
    <w:rsid w:val="00BE5DCD"/>
    <w:rsid w:val="00C91823"/>
    <w:rsid w:val="00D008AB"/>
    <w:rsid w:val="00E55B76"/>
    <w:rsid w:val="00E810AA"/>
    <w:rsid w:val="00ED5C78"/>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EC13"/>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2B5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3</cp:revision>
  <dcterms:created xsi:type="dcterms:W3CDTF">2020-03-10T11:52:00Z</dcterms:created>
  <dcterms:modified xsi:type="dcterms:W3CDTF">2020-03-10T11:53:00Z</dcterms:modified>
</cp:coreProperties>
</file>